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media/image1.png" ContentType="image/pn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ind w:hanging="0" w:left="0" w:right="132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ALLEGATO</w:t>
      </w:r>
      <w:r>
        <w:rPr>
          <w:rFonts w:ascii="Arial" w:hAnsi="Arial"/>
          <w:spacing w:val="-5"/>
          <w:sz w:val="20"/>
          <w:szCs w:val="20"/>
        </w:rPr>
        <w:t xml:space="preserve"> </w:t>
      </w:r>
      <w:r>
        <w:rPr>
          <w:rFonts w:ascii="Arial" w:hAnsi="Arial"/>
          <w:spacing w:val="-10"/>
          <w:sz w:val="20"/>
          <w:szCs w:val="20"/>
        </w:rPr>
        <w:t>E</w:t>
      </w:r>
    </w:p>
    <w:p>
      <w:pPr>
        <w:pStyle w:val="BodyText"/>
        <w:ind w:hanging="0" w:left="0" w:right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BodyText"/>
        <w:spacing w:before="23" w:after="0"/>
        <w:ind w:hanging="0" w:left="0" w:right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Heading1"/>
        <w:jc w:val="left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CASI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DI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ESCLUSIONE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ACCESSO</w:t>
      </w:r>
      <w:r>
        <w:rPr>
          <w:spacing w:val="-2"/>
          <w:sz w:val="20"/>
          <w:szCs w:val="20"/>
        </w:rPr>
        <w:t xml:space="preserve"> DOCUMENTALE</w:t>
      </w:r>
    </w:p>
    <w:p>
      <w:pPr>
        <w:pStyle w:val="BodyText"/>
        <w:spacing w:before="70" w:after="0"/>
        <w:ind w:hanging="0" w:left="0" w:right="0"/>
        <w:jc w:val="lef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03" w:leader="none"/>
        </w:tabs>
        <w:spacing w:lineRule="auto" w:line="271" w:before="0" w:after="0"/>
        <w:ind w:hanging="360" w:left="503" w:right="132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Documenti coperti da segreto di Stato ai sensi della L. 801 del 24/10/1977 e s.m.i., nonché documenti coperti dal divieto di divulgazione previsto dal da specifiche disposizioni di legge o regolamento;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03" w:leader="none"/>
        </w:tabs>
        <w:spacing w:lineRule="auto" w:line="271" w:before="1" w:after="0"/>
        <w:ind w:hanging="360" w:left="503" w:right="13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Documenti relativi ad atti preparatori di atti normativi, amministrativi generali, di pianificazione e di programmazione;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03" w:leader="none"/>
        </w:tabs>
        <w:spacing w:lineRule="auto" w:line="271" w:before="2" w:after="0"/>
        <w:ind w:hanging="360" w:left="503" w:right="132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Documenti istruttori preordinati alle attività di valutazione e controllo strategico effettuate dal Direttore Generale: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03" w:leader="none"/>
        </w:tabs>
        <w:spacing w:lineRule="auto" w:line="271" w:before="8" w:after="0"/>
        <w:ind w:hanging="360" w:left="503" w:right="137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Documenti contenenti notizie sulla programmazione dell’attività di vigilanza, nonché sulle modalità ed i tempi di svolgimento di essa;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03" w:leader="none"/>
        </w:tabs>
        <w:spacing w:lineRule="auto" w:line="271" w:before="4" w:after="0"/>
        <w:ind w:hanging="360" w:left="503" w:right="13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Documenti riguardanti le strutture, i mezzi, le dotazioni, il personale e le azioni</w:t>
      </w:r>
      <w:r>
        <w:rPr>
          <w:rFonts w:ascii="Arial" w:hAnsi="Arial"/>
          <w:spacing w:val="4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strumentali a tutela dell’ordine pubblico, alla prevenzione e alla repressione dei reati;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03" w:leader="none"/>
        </w:tabs>
        <w:spacing w:lineRule="auto" w:line="271" w:before="2" w:after="0"/>
        <w:ind w:hanging="360" w:left="503" w:right="13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Denunce, segnalazioni, esposti e verbali di accertamento relativi a violazioni e infrazioni soggette a comunicazione di notizie di reato all’autorità giudiziaria, ove coperti dal</w:t>
      </w:r>
      <w:r>
        <w:rPr>
          <w:rFonts w:ascii="Arial" w:hAnsi="Arial"/>
          <w:spacing w:val="4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segreto istruttorio;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03" w:leader="none"/>
        </w:tabs>
        <w:spacing w:lineRule="auto" w:line="276" w:before="4" w:after="0"/>
        <w:ind w:hanging="360" w:left="503" w:right="456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Documenti</w:t>
      </w:r>
      <w:r>
        <w:rPr>
          <w:rFonts w:ascii="Arial" w:hAnsi="Arial"/>
          <w:spacing w:val="-6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relativi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ad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atti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di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polizia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giudiziaria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anche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svolta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da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operatori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dell’Azienda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in veste e nell’espletamento delle funzioni di agente o ufficiale di polizia giudiziaria ed in ogni altro caso in cui la documentazione sia coperta dal segreto istruttorio ex art. 329 </w:t>
      </w:r>
      <w:r>
        <w:rPr>
          <w:rFonts w:ascii="Arial" w:hAnsi="Arial"/>
          <w:spacing w:val="-2"/>
          <w:sz w:val="20"/>
          <w:szCs w:val="20"/>
        </w:rPr>
        <w:t>c.p.p.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03" w:leader="none"/>
        </w:tabs>
        <w:spacing w:lineRule="auto" w:line="276" w:before="0" w:after="0"/>
        <w:ind w:hanging="360" w:left="503" w:right="131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Rapporti alla Procura Generale e alle Procure regionali della Corte dei Conti; richieste o relazioni di dette procure ove siano nominativamente individuati soggetti per i quali si presume la sussistenza di responsabilità amministrativa, contabile e penale; atti di promuovimento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di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azioni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di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responsabilità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civile,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penale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e/o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contabile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avanti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le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competenti autorità giudiziarie;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03" w:leader="none"/>
        </w:tabs>
        <w:spacing w:lineRule="auto" w:line="276" w:before="0" w:after="0"/>
        <w:ind w:hanging="360" w:left="503" w:right="131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Segnalazioni, denunce, esposti, e s.m.i. diretti a sollecitare l’attività di vigilanza e</w:t>
      </w:r>
      <w:r>
        <w:rPr>
          <w:rFonts w:ascii="Arial" w:hAnsi="Arial"/>
          <w:spacing w:val="4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controllo esercitata dall’Azienda sanitaria a tutela della salute dei cittadini e dei lavoratori e degli altri interessi pubblici affidati alle sue cure, salvo che per quelle parti del loro contenuto che vengano poste a fondamento di eventuali atti e/o provvedimenti </w:t>
      </w:r>
      <w:r>
        <w:rPr>
          <w:rFonts w:ascii="Arial" w:hAnsi="Arial"/>
          <w:spacing w:val="-2"/>
          <w:sz w:val="20"/>
          <w:szCs w:val="20"/>
        </w:rPr>
        <w:t>sanzionatori.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03" w:leader="none"/>
        </w:tabs>
        <w:spacing w:lineRule="auto" w:line="271" w:before="0" w:after="0"/>
        <w:ind w:hanging="360" w:left="503" w:right="132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Documenti relativi allo svolgimento da parte del proprio personale dipendente o convenzionato di attività sanitaria, legale o altra attività per la quale sia previsto dall’ordinamento il rispetto del segreto professionale;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03" w:leader="none"/>
        </w:tabs>
        <w:spacing w:lineRule="auto" w:line="271" w:before="0" w:after="0"/>
        <w:ind w:hanging="360" w:left="503" w:right="13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Documenti concernenti i sistemi di sicurezza degli edifici, degli uffici, delle infrastrutture, dei beni, dell’attività e dei sistemi informativi dell’amministrazione;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02" w:leader="none"/>
        </w:tabs>
        <w:spacing w:lineRule="auto" w:line="240" w:before="0" w:after="0"/>
        <w:ind w:hanging="359" w:left="502" w:right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documenti</w:t>
      </w:r>
      <w:r>
        <w:rPr>
          <w:rFonts w:ascii="Arial" w:hAnsi="Arial"/>
          <w:spacing w:val="-7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relativi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ai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procedimenti</w:t>
      </w:r>
      <w:r>
        <w:rPr>
          <w:rFonts w:ascii="Arial" w:hAnsi="Arial"/>
          <w:spacing w:val="-7"/>
          <w:sz w:val="20"/>
          <w:szCs w:val="20"/>
        </w:rPr>
        <w:t xml:space="preserve"> </w:t>
      </w:r>
      <w:r>
        <w:rPr>
          <w:rFonts w:ascii="Arial" w:hAnsi="Arial"/>
          <w:spacing w:val="-2"/>
          <w:sz w:val="20"/>
          <w:szCs w:val="20"/>
        </w:rPr>
        <w:t>tributari.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03" w:leader="none"/>
        </w:tabs>
        <w:spacing w:lineRule="auto" w:line="271" w:before="27" w:after="0"/>
        <w:ind w:hanging="360" w:left="503" w:right="131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Documenti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e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libri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contabili, ad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eccezione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dei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bilanci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approvati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con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delibera dei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competenti organi amministrativi; resta salva la facoltà del creditore di ottenere informazioni circa lo stato della procedura di liquidazione del proprio credito;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03" w:leader="none"/>
        </w:tabs>
        <w:spacing w:lineRule="auto" w:line="271" w:before="4" w:after="0"/>
        <w:ind w:hanging="360" w:left="503" w:right="137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Documenti amministrativi emanati da altre amministrazioni e sottratte all’accesso dalle stesse, che l’azienda detiene in quanto inerenti procedimenti di propria competenza;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03" w:leader="none"/>
        </w:tabs>
        <w:spacing w:lineRule="auto" w:line="240" w:before="0" w:after="0"/>
        <w:ind w:hanging="360" w:left="503" w:right="13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Documentazione attinente a procedimenti penali, ovvero utilizzabile ai fini disciplinari e di dispensa dal servizio, monitori o cautelari, nonché concernente procedure conciliative, arbitrali e l’istruttoria di ricorsi amministrativi prodotti dal personale dipendente.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03" w:leader="none"/>
        </w:tabs>
        <w:spacing w:lineRule="exact" w:line="268" w:before="0" w:after="0"/>
        <w:ind w:hanging="360" w:left="503" w:right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Documentazione</w:t>
      </w:r>
      <w:r>
        <w:rPr>
          <w:rFonts w:ascii="Arial" w:hAnsi="Arial"/>
          <w:spacing w:val="-8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attinente</w:t>
      </w:r>
      <w:r>
        <w:rPr>
          <w:rFonts w:ascii="Arial" w:hAnsi="Arial"/>
          <w:spacing w:val="-5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ad</w:t>
      </w:r>
      <w:r>
        <w:rPr>
          <w:rFonts w:ascii="Arial" w:hAnsi="Arial"/>
          <w:spacing w:val="-5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inchieste</w:t>
      </w:r>
      <w:r>
        <w:rPr>
          <w:rFonts w:ascii="Arial" w:hAnsi="Arial"/>
          <w:spacing w:val="-8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ispettive</w:t>
      </w:r>
      <w:r>
        <w:rPr>
          <w:rFonts w:ascii="Arial" w:hAnsi="Arial"/>
          <w:spacing w:val="-5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sommarie</w:t>
      </w:r>
      <w:r>
        <w:rPr>
          <w:rFonts w:ascii="Arial" w:hAnsi="Arial"/>
          <w:spacing w:val="-5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e</w:t>
      </w:r>
      <w:r>
        <w:rPr>
          <w:rFonts w:ascii="Arial" w:hAnsi="Arial"/>
          <w:spacing w:val="-7"/>
          <w:sz w:val="20"/>
          <w:szCs w:val="20"/>
        </w:rPr>
        <w:t xml:space="preserve"> </w:t>
      </w:r>
      <w:r>
        <w:rPr>
          <w:rFonts w:ascii="Arial" w:hAnsi="Arial"/>
          <w:spacing w:val="-2"/>
          <w:sz w:val="20"/>
          <w:szCs w:val="20"/>
        </w:rPr>
        <w:t>formali;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03" w:leader="none"/>
        </w:tabs>
        <w:spacing w:lineRule="exact" w:line="268" w:before="0" w:after="0"/>
        <w:ind w:hanging="360" w:left="503" w:right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Rapporti</w:t>
      </w:r>
      <w:r>
        <w:rPr>
          <w:rFonts w:ascii="Arial" w:hAnsi="Arial"/>
          <w:spacing w:val="-7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informativi</w:t>
      </w:r>
      <w:r>
        <w:rPr>
          <w:rFonts w:ascii="Arial" w:hAnsi="Arial"/>
          <w:spacing w:val="-5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interni</w:t>
      </w:r>
      <w:r>
        <w:rPr>
          <w:rFonts w:ascii="Arial" w:hAnsi="Arial"/>
          <w:spacing w:val="-5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relativi</w:t>
      </w:r>
      <w:r>
        <w:rPr>
          <w:rFonts w:ascii="Arial" w:hAnsi="Arial"/>
          <w:spacing w:val="-5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</w:t>
      </w:r>
      <w:r>
        <w:rPr>
          <w:rFonts w:ascii="Arial" w:hAnsi="Arial"/>
          <w:spacing w:val="-5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personale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pacing w:val="-2"/>
          <w:sz w:val="20"/>
          <w:szCs w:val="20"/>
        </w:rPr>
        <w:t>dipendente;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03" w:leader="none"/>
        </w:tabs>
        <w:spacing w:lineRule="exact" w:line="268" w:before="0" w:after="0"/>
        <w:ind w:hanging="360" w:left="503" w:right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Accertamenti</w:t>
      </w:r>
      <w:r>
        <w:rPr>
          <w:rFonts w:ascii="Arial" w:hAnsi="Arial"/>
          <w:spacing w:val="-1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medico</w:t>
      </w:r>
      <w:r>
        <w:rPr>
          <w:rFonts w:ascii="Arial" w:hAnsi="Arial"/>
          <w:spacing w:val="-6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legali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dei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dipendenti</w:t>
      </w:r>
      <w:r>
        <w:rPr>
          <w:rFonts w:ascii="Arial" w:hAnsi="Arial"/>
          <w:spacing w:val="-5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e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relativa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pacing w:val="-2"/>
          <w:sz w:val="20"/>
          <w:szCs w:val="20"/>
        </w:rPr>
        <w:t>documentazione;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03" w:leader="none"/>
        </w:tabs>
        <w:spacing w:lineRule="auto" w:line="240" w:before="0" w:after="0"/>
        <w:ind w:hanging="360" w:left="503" w:right="134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Documenti</w:t>
      </w:r>
      <w:r>
        <w:rPr>
          <w:rFonts w:ascii="Arial" w:hAnsi="Arial"/>
          <w:spacing w:val="4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rappresentativi</w:t>
      </w:r>
      <w:r>
        <w:rPr>
          <w:rFonts w:ascii="Arial" w:hAnsi="Arial"/>
          <w:spacing w:val="4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di</w:t>
      </w:r>
      <w:r>
        <w:rPr>
          <w:rFonts w:ascii="Arial" w:hAnsi="Arial"/>
          <w:spacing w:val="4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accertamenti</w:t>
      </w:r>
      <w:r>
        <w:rPr>
          <w:rFonts w:ascii="Arial" w:hAnsi="Arial"/>
          <w:spacing w:val="4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e</w:t>
      </w:r>
      <w:r>
        <w:rPr>
          <w:rFonts w:ascii="Arial" w:hAnsi="Arial"/>
          <w:spacing w:val="4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di</w:t>
      </w:r>
      <w:r>
        <w:rPr>
          <w:rFonts w:ascii="Arial" w:hAnsi="Arial"/>
          <w:spacing w:val="4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dichiarazioni</w:t>
      </w:r>
      <w:r>
        <w:rPr>
          <w:rFonts w:ascii="Arial" w:hAnsi="Arial"/>
          <w:spacing w:val="4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medico-legali,</w:t>
      </w:r>
      <w:r>
        <w:rPr>
          <w:rFonts w:ascii="Arial" w:hAnsi="Arial"/>
          <w:spacing w:val="4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relativi</w:t>
      </w:r>
      <w:r>
        <w:rPr>
          <w:rFonts w:ascii="Arial" w:hAnsi="Arial"/>
          <w:spacing w:val="40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 dipendenti, utenti e terzi, a seguito di richieste risarcitorie;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03" w:leader="none"/>
        </w:tabs>
        <w:spacing w:lineRule="exact" w:line="267" w:before="0" w:after="0"/>
        <w:ind w:hanging="360" w:left="503" w:right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Documentazione</w:t>
      </w:r>
      <w:r>
        <w:rPr>
          <w:rFonts w:ascii="Arial" w:hAnsi="Arial"/>
          <w:spacing w:val="-9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relativa</w:t>
      </w:r>
      <w:r>
        <w:rPr>
          <w:rFonts w:ascii="Arial" w:hAnsi="Arial"/>
          <w:spacing w:val="-6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ai</w:t>
      </w:r>
      <w:r>
        <w:rPr>
          <w:rFonts w:ascii="Arial" w:hAnsi="Arial"/>
          <w:spacing w:val="-6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pignoramenti</w:t>
      </w:r>
      <w:r>
        <w:rPr>
          <w:rFonts w:ascii="Arial" w:hAnsi="Arial"/>
          <w:spacing w:val="-6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sulle</w:t>
      </w:r>
      <w:r>
        <w:rPr>
          <w:rFonts w:ascii="Arial" w:hAnsi="Arial"/>
          <w:spacing w:val="-8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retribuzioni</w:t>
      </w:r>
      <w:r>
        <w:rPr>
          <w:rFonts w:ascii="Arial" w:hAnsi="Arial"/>
          <w:spacing w:val="-6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dei</w:t>
      </w:r>
      <w:r>
        <w:rPr>
          <w:rFonts w:ascii="Arial" w:hAnsi="Arial"/>
          <w:spacing w:val="-6"/>
          <w:sz w:val="20"/>
          <w:szCs w:val="20"/>
        </w:rPr>
        <w:t xml:space="preserve"> </w:t>
      </w:r>
      <w:r>
        <w:rPr>
          <w:rFonts w:ascii="Arial" w:hAnsi="Arial"/>
          <w:spacing w:val="-2"/>
          <w:sz w:val="20"/>
          <w:szCs w:val="20"/>
        </w:rPr>
        <w:t>dipendenti;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03" w:leader="none"/>
        </w:tabs>
        <w:spacing w:lineRule="auto" w:line="240" w:before="0" w:after="0"/>
        <w:ind w:hanging="360" w:left="503" w:right="13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Fascicoli del personale dipendente, convenzionato o comunque contrattualizzato con </w:t>
      </w:r>
      <w:r>
        <w:rPr>
          <w:rFonts w:ascii="Arial" w:hAnsi="Arial"/>
          <w:spacing w:val="-2"/>
          <w:sz w:val="20"/>
          <w:szCs w:val="20"/>
        </w:rPr>
        <w:t>l’Azienda;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03" w:leader="none"/>
        </w:tabs>
        <w:spacing w:lineRule="auto" w:line="240" w:before="0" w:after="0"/>
        <w:ind w:hanging="360" w:left="503" w:right="132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Atti riguardanti il trattamento economico individuale in servizio e in quiescenza, quando dagli atti possano desumersi informazioni o notizie di carattere riservato;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03" w:leader="none"/>
        </w:tabs>
        <w:spacing w:lineRule="auto" w:line="240" w:before="0" w:after="0"/>
        <w:ind w:hanging="360" w:left="503" w:right="131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Atti aziendali contenenti valutazioni sull’attività lavorativa dei dipendenti, inclusa ogni notizia relativa al trattamento economico accessorio, ivi compresi i provvedimenti di </w:t>
      </w:r>
      <w:r>
        <w:rPr>
          <w:rFonts w:ascii="Arial" w:hAnsi="Arial"/>
          <w:spacing w:val="-2"/>
          <w:sz w:val="20"/>
          <w:szCs w:val="20"/>
        </w:rPr>
        <w:t>liquidazione;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02" w:leader="none"/>
        </w:tabs>
        <w:spacing w:lineRule="exact" w:line="266" w:before="0" w:after="0"/>
        <w:ind w:hanging="359" w:left="502" w:right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Documentazione</w:t>
      </w:r>
      <w:r>
        <w:rPr>
          <w:rFonts w:ascii="Arial" w:hAnsi="Arial"/>
          <w:spacing w:val="-9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attinente</w:t>
      </w:r>
      <w:r>
        <w:rPr>
          <w:rFonts w:ascii="Arial" w:hAnsi="Arial"/>
          <w:spacing w:val="-6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ai</w:t>
      </w:r>
      <w:r>
        <w:rPr>
          <w:rFonts w:ascii="Arial" w:hAnsi="Arial"/>
          <w:spacing w:val="-6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provvedimenti</w:t>
      </w:r>
      <w:r>
        <w:rPr>
          <w:rFonts w:ascii="Arial" w:hAnsi="Arial"/>
          <w:spacing w:val="-6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di</w:t>
      </w:r>
      <w:r>
        <w:rPr>
          <w:rFonts w:ascii="Arial" w:hAnsi="Arial"/>
          <w:spacing w:val="-6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dispensa</w:t>
      </w:r>
      <w:r>
        <w:rPr>
          <w:rFonts w:ascii="Arial" w:hAnsi="Arial"/>
          <w:spacing w:val="-6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dal</w:t>
      </w:r>
      <w:r>
        <w:rPr>
          <w:rFonts w:ascii="Arial" w:hAnsi="Arial"/>
          <w:spacing w:val="-6"/>
          <w:sz w:val="20"/>
          <w:szCs w:val="20"/>
        </w:rPr>
        <w:t xml:space="preserve"> </w:t>
      </w:r>
      <w:r>
        <w:rPr>
          <w:rFonts w:ascii="Arial" w:hAnsi="Arial"/>
          <w:spacing w:val="-2"/>
          <w:sz w:val="20"/>
          <w:szCs w:val="20"/>
        </w:rPr>
        <w:t>servizio;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02" w:leader="none"/>
        </w:tabs>
        <w:spacing w:lineRule="exact" w:line="269" w:before="0" w:after="0"/>
        <w:ind w:hanging="359" w:left="502" w:right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Documentazione</w:t>
      </w:r>
      <w:r>
        <w:rPr>
          <w:rFonts w:ascii="Arial" w:hAnsi="Arial"/>
          <w:spacing w:val="-6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relativa</w:t>
      </w:r>
      <w:r>
        <w:rPr>
          <w:rFonts w:ascii="Arial" w:hAnsi="Arial"/>
          <w:spacing w:val="-6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alle</w:t>
      </w:r>
      <w:r>
        <w:rPr>
          <w:rFonts w:ascii="Arial" w:hAnsi="Arial"/>
          <w:spacing w:val="-6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pratiche</w:t>
      </w:r>
      <w:r>
        <w:rPr>
          <w:rFonts w:ascii="Arial" w:hAnsi="Arial"/>
          <w:spacing w:val="-7"/>
          <w:sz w:val="20"/>
          <w:szCs w:val="20"/>
        </w:rPr>
        <w:t xml:space="preserve"> </w:t>
      </w:r>
      <w:r>
        <w:rPr>
          <w:rFonts w:ascii="Arial" w:hAnsi="Arial"/>
          <w:spacing w:val="-2"/>
          <w:sz w:val="20"/>
          <w:szCs w:val="20"/>
        </w:rPr>
        <w:t>previdenziali;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03" w:leader="none"/>
        </w:tabs>
        <w:spacing w:lineRule="auto" w:line="240" w:before="0" w:after="0"/>
        <w:ind w:hanging="360" w:left="503" w:right="13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La documentazione matricolare, i rapporti informativi, le note caratteristiche gli accertamenti medico legali, i documenti relativi alla salute o concernenti le condizioni psicofisiche relativi al personale, anche in quiescenza, dell’Azienda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02" w:leader="none"/>
        </w:tabs>
        <w:spacing w:lineRule="exact" w:line="265" w:before="0" w:after="0"/>
        <w:ind w:hanging="359" w:left="502" w:right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Documentazione</w:t>
      </w:r>
      <w:r>
        <w:rPr>
          <w:rFonts w:ascii="Arial" w:hAnsi="Arial"/>
          <w:spacing w:val="-7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e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cartelle</w:t>
      </w:r>
      <w:r>
        <w:rPr>
          <w:rFonts w:ascii="Arial" w:hAnsi="Arial"/>
          <w:spacing w:val="-5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degli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appunti</w:t>
      </w:r>
      <w:r>
        <w:rPr>
          <w:rFonts w:ascii="Arial" w:hAnsi="Arial"/>
          <w:spacing w:val="-5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di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lavoro</w:t>
      </w:r>
      <w:r>
        <w:rPr>
          <w:rFonts w:ascii="Arial" w:hAnsi="Arial"/>
          <w:spacing w:val="-7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degli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operatori</w:t>
      </w:r>
      <w:r>
        <w:rPr>
          <w:rFonts w:ascii="Arial" w:hAnsi="Arial"/>
          <w:spacing w:val="-7"/>
          <w:sz w:val="20"/>
          <w:szCs w:val="20"/>
        </w:rPr>
        <w:t xml:space="preserve"> </w:t>
      </w:r>
      <w:r>
        <w:rPr>
          <w:rFonts w:ascii="Arial" w:hAnsi="Arial"/>
          <w:spacing w:val="-2"/>
          <w:sz w:val="20"/>
          <w:szCs w:val="20"/>
        </w:rPr>
        <w:t>dell’Azienda;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03" w:leader="none"/>
        </w:tabs>
        <w:spacing w:lineRule="auto" w:line="240" w:before="0" w:after="0"/>
        <w:ind w:hanging="360" w:left="503" w:right="13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Documenti concernenti soluzioni originali di problemi tecnici individuati dall’Azienda sanitaria o da imprese che operano per la stessa;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02" w:leader="none"/>
        </w:tabs>
        <w:spacing w:lineRule="exact" w:line="267" w:before="0" w:after="0"/>
        <w:ind w:hanging="359" w:left="502" w:right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Note</w:t>
      </w:r>
      <w:r>
        <w:rPr>
          <w:rFonts w:ascii="Arial" w:hAnsi="Arial"/>
          <w:spacing w:val="-6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meramente</w:t>
      </w:r>
      <w:r>
        <w:rPr>
          <w:rFonts w:ascii="Arial" w:hAnsi="Arial"/>
          <w:spacing w:val="-5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interne</w:t>
      </w:r>
      <w:r>
        <w:rPr>
          <w:rFonts w:ascii="Arial" w:hAnsi="Arial"/>
          <w:spacing w:val="-6"/>
          <w:sz w:val="20"/>
          <w:szCs w:val="20"/>
        </w:rPr>
        <w:t xml:space="preserve"> </w:t>
      </w:r>
      <w:r>
        <w:rPr>
          <w:rFonts w:ascii="Arial" w:hAnsi="Arial"/>
          <w:spacing w:val="-2"/>
          <w:sz w:val="20"/>
          <w:szCs w:val="20"/>
        </w:rPr>
        <w:t>d’ufficio;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03" w:leader="none"/>
        </w:tabs>
        <w:spacing w:lineRule="auto" w:line="271" w:before="0" w:after="0"/>
        <w:ind w:hanging="360" w:left="503" w:right="13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Protocolli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generali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e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speciali,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dei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repertori,</w:t>
      </w:r>
      <w:r>
        <w:rPr>
          <w:rFonts w:ascii="Arial" w:hAnsi="Arial"/>
          <w:spacing w:val="-4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rubriche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e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cataloghi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di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atti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e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documenti,</w:t>
      </w:r>
      <w:r>
        <w:rPr>
          <w:rFonts w:ascii="Arial" w:hAnsi="Arial"/>
          <w:spacing w:val="-1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salvo</w:t>
      </w:r>
      <w:r>
        <w:rPr>
          <w:rFonts w:ascii="Arial" w:hAnsi="Arial"/>
          <w:spacing w:val="-3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il diritto di accesso alle informazioni, alla visione ed alla estrazione di copia delle registrazioni effettuate negli stessi per singoli atti ferme restando le preclusioni di cui alla L.241/1990 e s.m.i e nei casi previsti dal presente regolamento.</w:t>
      </w:r>
    </w:p>
    <w:p>
      <w:pPr>
        <w:pStyle w:val="BodyText"/>
        <w:spacing w:before="27" w:after="0"/>
        <w:ind w:hanging="0" w:left="0" w:right="0"/>
        <w:jc w:val="left"/>
        <w:rPr>
          <w:rFonts w:ascii="Arial" w:hAnsi="Arial"/>
          <w:i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</w:r>
    </w:p>
    <w:p>
      <w:pPr>
        <w:pStyle w:val="Heading1"/>
        <w:widowControl w:val="false"/>
        <w:suppressAutoHyphens w:val="true"/>
        <w:bidi w:val="0"/>
        <w:spacing w:lineRule="auto" w:line="235" w:before="0" w:after="0"/>
        <w:ind w:hanging="0" w:left="0" w:right="113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 xml:space="preserve">Procedure concorsuali o di selezione per assunzioni o attribuzioni di qualifiche o </w:t>
      </w:r>
      <w:r>
        <w:rPr>
          <w:spacing w:val="-2"/>
          <w:sz w:val="20"/>
          <w:szCs w:val="20"/>
        </w:rPr>
        <w:t>funzioni</w:t>
      </w:r>
      <w:r>
        <w:rPr>
          <w:b w:val="false"/>
          <w:spacing w:val="-2"/>
          <w:sz w:val="20"/>
          <w:szCs w:val="20"/>
        </w:rPr>
        <w:t>.</w:t>
      </w:r>
    </w:p>
    <w:p>
      <w:pPr>
        <w:pStyle w:val="BodyText"/>
        <w:widowControl w:val="false"/>
        <w:suppressAutoHyphens w:val="true"/>
        <w:bidi w:val="0"/>
        <w:spacing w:lineRule="auto" w:line="276" w:before="0" w:after="0"/>
        <w:ind w:hanging="0" w:left="0" w:right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 documenti amministrativi contenenti informazioni di carattere psicoattitudinale riferiti a terzi adottati dall’Azienda nel corso di procedimenti selettivi del personale Atti provenienti da soggetti privati non utilizzati ai fini dell’attività amministrativa;</w:t>
      </w:r>
    </w:p>
    <w:p>
      <w:pPr>
        <w:pStyle w:val="BodyText"/>
        <w:spacing w:before="21" w:after="0"/>
        <w:ind w:hanging="0" w:left="0" w:right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Heading1"/>
        <w:widowControl w:val="false"/>
        <w:suppressAutoHyphens w:val="true"/>
        <w:bidi w:val="0"/>
        <w:spacing w:lineRule="auto" w:line="240" w:before="1" w:after="0"/>
        <w:ind w:hanging="0" w:left="0" w:right="0"/>
        <w:jc w:val="both"/>
        <w:rPr>
          <w:rFonts w:ascii="Arial" w:hAnsi="Arial"/>
          <w:sz w:val="20"/>
          <w:szCs w:val="20"/>
        </w:rPr>
      </w:pPr>
      <w:r>
        <w:rPr>
          <w:sz w:val="20"/>
          <w:szCs w:val="20"/>
        </w:rPr>
        <w:t>Pareri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Legali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documentazione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inerenti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vertenze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giudiziarie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e</w:t>
      </w:r>
      <w:r>
        <w:rPr>
          <w:spacing w:val="-4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>stragiudiziarie</w:t>
      </w:r>
    </w:p>
    <w:p>
      <w:pPr>
        <w:pStyle w:val="Heading1"/>
        <w:widowControl w:val="false"/>
        <w:numPr>
          <w:ilvl w:val="0"/>
          <w:numId w:val="0"/>
        </w:numPr>
        <w:suppressAutoHyphens w:val="true"/>
        <w:bidi w:val="0"/>
        <w:spacing w:lineRule="auto" w:line="240" w:before="1" w:after="0"/>
        <w:ind w:hanging="0" w:left="0" w:right="0"/>
        <w:jc w:val="both"/>
        <w:rPr>
          <w:rFonts w:ascii="Arial" w:hAnsi="Arial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  <w:t>L’art. 2 del D.P.C.M. 26 gennaio 1996, n. 200 (Categorie di documenti inaccessibili nei casi</w:t>
      </w:r>
      <w:r>
        <w:rPr>
          <w:b w:val="false"/>
          <w:bCs w:val="false"/>
          <w:spacing w:val="40"/>
          <w:sz w:val="20"/>
          <w:szCs w:val="20"/>
        </w:rPr>
        <w:t xml:space="preserve"> </w:t>
      </w:r>
      <w:r>
        <w:rPr>
          <w:b w:val="false"/>
          <w:bCs w:val="false"/>
          <w:sz w:val="20"/>
          <w:szCs w:val="20"/>
        </w:rPr>
        <w:t>di segreto o di divieto di divulgazione previsti dall’ordinamento), prevede poi che ai sensi dell’art. 24, comma 1, della Legge 7 agosto 1990, n. 241, in virtù del segreto professionale già previsto dall’ordinamento, al fine di salvaguardare la riservatezza nei rapporti tra difensore e difeso, sono sottratti all’accesso i seguenti documenti:</w:t>
      </w:r>
    </w:p>
    <w:p>
      <w:pPr>
        <w:pStyle w:val="BodyText"/>
        <w:spacing w:before="28" w:after="0"/>
        <w:ind w:hanging="0" w:left="0" w:right="0"/>
        <w:jc w:val="lef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3" w:leader="none"/>
        </w:tabs>
        <w:spacing w:lineRule="auto" w:line="276" w:before="0" w:after="0"/>
        <w:ind w:hanging="360" w:left="863" w:right="132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pareri resi in relazione a lite in potenza o in atto e la inerente corrispondenza (quindi pareri e consulenze attinenti alle tesi difensive in un procedimento giurisdizionale, giudiziale o stragiudiziale o comunque finalizzati a definire le strategie di difesa </w:t>
      </w:r>
      <w:r>
        <w:rPr>
          <w:rFonts w:ascii="Arial" w:hAnsi="Arial"/>
          <w:spacing w:val="-2"/>
          <w:sz w:val="20"/>
          <w:szCs w:val="20"/>
        </w:rPr>
        <w:t>daell’Amministrazione);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2" w:leader="none"/>
        </w:tabs>
        <w:spacing w:lineRule="auto" w:line="240" w:before="0" w:after="0"/>
        <w:ind w:hanging="359" w:left="862" w:right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atti</w:t>
      </w:r>
      <w:r>
        <w:rPr>
          <w:rFonts w:ascii="Arial" w:hAnsi="Arial"/>
          <w:spacing w:val="1"/>
          <w:sz w:val="20"/>
          <w:szCs w:val="20"/>
        </w:rPr>
        <w:t xml:space="preserve"> </w:t>
      </w:r>
      <w:r>
        <w:rPr>
          <w:rFonts w:ascii="Arial" w:hAnsi="Arial"/>
          <w:spacing w:val="-2"/>
          <w:sz w:val="20"/>
          <w:szCs w:val="20"/>
        </w:rPr>
        <w:t>defensionali;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63" w:leader="none"/>
        </w:tabs>
        <w:spacing w:lineRule="auto" w:line="276" w:before="37" w:after="0"/>
        <w:ind w:hanging="360" w:left="863" w:right="132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corrispondenza inerente agli affari di cui ai punti a) e b). I pareri legali sono inoltre sottoposti al segreto professionale di cui all’art. 622 c.p. e art. 200 c.p.p.</w:t>
      </w:r>
    </w:p>
    <w:p>
      <w:pPr>
        <w:pStyle w:val="BodyText"/>
        <w:spacing w:before="34" w:after="0"/>
        <w:ind w:hanging="0" w:left="0" w:right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widowControl w:val="false"/>
        <w:suppressAutoHyphens w:val="true"/>
        <w:bidi w:val="0"/>
        <w:spacing w:lineRule="auto" w:line="235" w:before="0" w:after="0"/>
        <w:ind w:hanging="0" w:left="0" w:right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Si considerano invece soggetti all’accesso i pareri legali ove siano riferiti all’iter procedimentale e vengano pertanto </w:t>
      </w:r>
      <w:r>
        <w:rPr>
          <w:rFonts w:ascii="Arial" w:hAnsi="Arial"/>
          <w:b/>
          <w:sz w:val="20"/>
          <w:szCs w:val="20"/>
        </w:rPr>
        <w:t>ad innestarsi nel provvedimento finale</w:t>
      </w:r>
      <w:r>
        <w:rPr>
          <w:rFonts w:ascii="Arial" w:hAnsi="Arial"/>
          <w:sz w:val="20"/>
          <w:szCs w:val="20"/>
        </w:rPr>
        <w:t>.</w:t>
      </w:r>
    </w:p>
    <w:p>
      <w:pPr>
        <w:pStyle w:val="BodyText"/>
        <w:ind w:hanging="0" w:left="0" w:right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widowControl w:val="false"/>
        <w:suppressAutoHyphens w:val="true"/>
        <w:bidi w:val="0"/>
        <w:spacing w:lineRule="auto" w:line="276" w:before="0" w:after="0"/>
        <w:ind w:hanging="0" w:left="0" w:right="0"/>
        <w:jc w:val="both"/>
        <w:rPr/>
      </w:pPr>
      <w:r>
        <w:rPr>
          <w:rFonts w:ascii="Arial" w:hAnsi="Arial"/>
          <w:b/>
          <w:sz w:val="20"/>
          <w:szCs w:val="20"/>
        </w:rPr>
        <w:t>L’art. 24 comma 7 della L. 241/1990 impone quale regola generale la garanzia dell’accesso ai documenti amministrativi la cui conoscenza sia necessaria per curare o per difendere i propri interessi giuridici. Per quanto poi attiene ai dati “sensibili” e giudiziari,</w:t>
      </w:r>
      <w:r>
        <w:rPr>
          <w:rFonts w:ascii="Arial" w:hAnsi="Arial"/>
          <w:b/>
          <w:spacing w:val="40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l'accesso è consentito nei limiti in cui sia strettamente indispensabile e nei termini previsti dall'articolo 60 del decreto legislativo 30 giugno 2003, n. 196, in caso</w:t>
      </w:r>
      <w:r>
        <w:rPr>
          <w:rFonts w:ascii="Arial" w:hAnsi="Arial"/>
          <w:b/>
          <w:spacing w:val="40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di dati idonei a rivelare lo stato di salute e la vita sessuale.</w:t>
      </w:r>
    </w:p>
    <w:p>
      <w:pPr>
        <w:pStyle w:val="Normal"/>
        <w:widowControl w:val="false"/>
        <w:suppressAutoHyphens w:val="true"/>
        <w:bidi w:val="0"/>
        <w:spacing w:lineRule="auto" w:line="276" w:before="0" w:after="0"/>
        <w:ind w:hanging="0" w:left="0" w:right="0"/>
        <w:jc w:val="both"/>
        <w:rPr>
          <w:rFonts w:ascii="Arial" w:hAnsi="Arial" w:cs="Calibri"/>
          <w:b/>
          <w:color w:val="auto"/>
          <w:sz w:val="20"/>
          <w:szCs w:val="20"/>
          <w:highlight w:val="none"/>
          <w:shd w:fill="FFFF00" w:val="clear"/>
        </w:rPr>
      </w:pPr>
      <w:r>
        <w:rPr>
          <w:rFonts w:cs="Calibri" w:ascii="Arial" w:hAnsi="Arial"/>
          <w:b/>
          <w:color w:val="000000"/>
          <w:sz w:val="20"/>
          <w:szCs w:val="20"/>
          <w:shd w:fill="FFFF00" w:val="clear"/>
        </w:rPr>
      </w:r>
    </w:p>
    <w:p>
      <w:pPr>
        <w:pStyle w:val="Normal"/>
        <w:widowControl w:val="false"/>
        <w:suppressAutoHyphens w:val="true"/>
        <w:bidi w:val="0"/>
        <w:spacing w:lineRule="auto" w:line="276" w:before="57" w:after="57"/>
        <w:ind w:hanging="0" w:left="0" w:right="0"/>
        <w:jc w:val="both"/>
        <w:rPr/>
      </w:pPr>
      <w:r>
        <w:rPr>
          <w:rFonts w:cs="Calibri" w:ascii="Arial" w:hAnsi="Arial"/>
          <w:b/>
          <w:bCs/>
          <w:color w:val="000000"/>
          <w:sz w:val="20"/>
          <w:szCs w:val="20"/>
          <w:shd w:fill="auto" w:val="clear"/>
        </w:rPr>
        <w:t>Casi di esclusione nelle procedure di acquisto</w:t>
      </w:r>
    </w:p>
    <w:p>
      <w:pPr>
        <w:pStyle w:val="Normal"/>
        <w:widowControl w:val="false"/>
        <w:suppressAutoHyphens w:val="true"/>
        <w:bidi w:val="0"/>
        <w:spacing w:lineRule="auto" w:line="276" w:before="0" w:after="0"/>
        <w:ind w:hanging="0" w:left="0" w:right="0"/>
        <w:jc w:val="both"/>
        <w:rPr/>
      </w:pPr>
      <w:r>
        <w:rPr>
          <w:rFonts w:cs="Calibri" w:ascii="Arial" w:hAnsi="Arial"/>
          <w:b w:val="false"/>
          <w:bCs w:val="false"/>
          <w:color w:val="000000"/>
          <w:sz w:val="20"/>
          <w:szCs w:val="20"/>
          <w:shd w:fill="auto" w:val="clear"/>
          <w:lang w:eastAsia="it-IT"/>
        </w:rPr>
        <w:t xml:space="preserve">Il nuovo Codice degli appalti (D.Lgs. 36/2023), agli artt. 35 e 36, presenta rilevanti novità in materia; in particolare, s'introduce l’utilizzo delle piattaforme di e-procurement, per la gestione delle istanza di accesso e viene sancita la possibilità di effettuare anche l’accesso civico generalizzato previsto dall’articolo 5-bis del D.Lgs. 14 marzo 2013 n. 33 che precedentemente pareva esclusa. </w:t>
      </w:r>
    </w:p>
    <w:p>
      <w:pPr>
        <w:pStyle w:val="Normal"/>
        <w:spacing w:lineRule="auto" w:line="276"/>
        <w:jc w:val="both"/>
        <w:rPr/>
      </w:pPr>
      <w:r>
        <w:rPr>
          <w:rFonts w:cs="Calibri" w:ascii="Arial" w:hAnsi="Arial"/>
          <w:b w:val="false"/>
          <w:bCs w:val="false"/>
          <w:color w:val="000000"/>
          <w:sz w:val="20"/>
          <w:szCs w:val="20"/>
          <w:shd w:fill="auto" w:val="clear"/>
          <w:lang w:eastAsia="it-IT"/>
        </w:rPr>
        <w:t>Fermo che, ai sensi dell'art. 35 c. 3 del Codice, gli atti, i dati e le informazioni non possono essere rese accessibili e conoscibili fino alla conclusione delle fasi o alla scadenza dei termini per le ipotesi di differimento (vedasi Allegato E – Casi esemplificativi di differimento dell’accesso).</w:t>
      </w:r>
    </w:p>
    <w:p>
      <w:pPr>
        <w:pStyle w:val="Normal"/>
        <w:spacing w:lineRule="auto" w:line="276" w:before="0" w:after="120"/>
        <w:jc w:val="both"/>
        <w:rPr/>
      </w:pPr>
      <w:r>
        <w:rPr>
          <w:rFonts w:cs="Calibri" w:ascii="Arial" w:hAnsi="Arial"/>
          <w:b w:val="false"/>
          <w:bCs w:val="false"/>
          <w:color w:val="000000"/>
          <w:sz w:val="20"/>
          <w:szCs w:val="20"/>
          <w:shd w:fill="auto" w:val="clear"/>
          <w:lang w:eastAsia="it-IT"/>
        </w:rPr>
        <w:t xml:space="preserve">In particolare, salvo che la conoscibilità di documenti non sia indispensabile per la </w:t>
      </w:r>
      <w:r>
        <w:rPr>
          <w:rFonts w:cs="Calibri" w:ascii="Arial" w:hAnsi="Arial"/>
          <w:b w:val="false"/>
          <w:bCs w:val="false"/>
          <w:iCs/>
          <w:color w:val="000000"/>
          <w:sz w:val="20"/>
          <w:szCs w:val="20"/>
          <w:shd w:fill="auto" w:val="clear"/>
          <w:lang w:eastAsia="it-IT"/>
        </w:rPr>
        <w:t>difesa in giudizio dei propri interessi giuridici rappresentati, in relazione alla procedura di gara</w:t>
      </w:r>
      <w:r>
        <w:rPr>
          <w:rFonts w:cs="Calibri" w:ascii="Arial" w:hAnsi="Arial"/>
          <w:b w:val="false"/>
          <w:bCs w:val="false"/>
          <w:color w:val="000000"/>
          <w:sz w:val="20"/>
          <w:szCs w:val="20"/>
          <w:shd w:fill="auto" w:val="clear"/>
          <w:lang w:eastAsia="it-IT"/>
        </w:rPr>
        <w:t>:</w:t>
      </w:r>
    </w:p>
    <w:p>
      <w:pPr>
        <w:pStyle w:val="Normal"/>
        <w:numPr>
          <w:ilvl w:val="0"/>
          <w:numId w:val="4"/>
        </w:numPr>
        <w:spacing w:lineRule="auto" w:line="276" w:before="0" w:after="120"/>
        <w:ind w:hanging="360" w:left="720" w:right="0"/>
        <w:jc w:val="both"/>
        <w:rPr/>
      </w:pPr>
      <w:r>
        <w:rPr>
          <w:rFonts w:cs="Calibri" w:ascii="Arial" w:hAnsi="Arial"/>
          <w:b w:val="false"/>
          <w:bCs w:val="false"/>
          <w:color w:val="000000"/>
          <w:sz w:val="20"/>
          <w:szCs w:val="20"/>
          <w:u w:val="none"/>
          <w:shd w:fill="auto" w:val="clear"/>
          <w:lang w:eastAsia="it-IT"/>
        </w:rPr>
        <w:t>l'</w:t>
      </w:r>
      <w:r>
        <w:rPr>
          <w:rFonts w:cs="Calibri" w:ascii="Arial" w:hAnsi="Arial"/>
          <w:b/>
          <w:bCs/>
          <w:color w:val="000000"/>
          <w:sz w:val="20"/>
          <w:szCs w:val="20"/>
          <w:u w:val="none"/>
          <w:shd w:fill="auto" w:val="clear"/>
          <w:lang w:eastAsia="it-IT"/>
        </w:rPr>
        <w:t>accesso può essere escluso</w:t>
      </w:r>
      <w:r>
        <w:rPr>
          <w:rFonts w:cs="Calibri" w:ascii="Arial" w:hAnsi="Arial"/>
          <w:b w:val="false"/>
          <w:bCs w:val="false"/>
          <w:color w:val="000000"/>
          <w:sz w:val="20"/>
          <w:szCs w:val="20"/>
          <w:shd w:fill="auto" w:val="clear"/>
          <w:lang w:eastAsia="it-IT"/>
        </w:rPr>
        <w:t xml:space="preserve"> (ex comma 4 lett. a)  dell'art. 35 del codice) “</w:t>
      </w:r>
      <w:r>
        <w:rPr>
          <w:rFonts w:cs="Calibri" w:ascii="Arial" w:hAnsi="Arial"/>
          <w:b w:val="false"/>
          <w:bCs w:val="false"/>
          <w:i/>
          <w:iCs/>
          <w:color w:val="000000"/>
          <w:sz w:val="20"/>
          <w:szCs w:val="20"/>
          <w:shd w:fill="auto" w:val="clear"/>
          <w:lang w:eastAsia="it-IT"/>
        </w:rPr>
        <w:t>in relazione alle informazioni fornite nell’ambito dell’offerta o a giustificazione della medesima che costituiscano, secondo motivata e comprovata dichiarazione dell’offerente, segreti tecnici o commerciali</w:t>
      </w:r>
      <w:r>
        <w:rPr>
          <w:rFonts w:cs="Calibri" w:ascii="Arial" w:hAnsi="Arial"/>
          <w:b w:val="false"/>
          <w:bCs w:val="false"/>
          <w:color w:val="000000"/>
          <w:sz w:val="20"/>
          <w:szCs w:val="20"/>
          <w:shd w:fill="auto" w:val="clear"/>
          <w:lang w:eastAsia="it-IT"/>
        </w:rPr>
        <w:t>”;</w:t>
      </w:r>
    </w:p>
    <w:p>
      <w:pPr>
        <w:pStyle w:val="Normal"/>
        <w:numPr>
          <w:ilvl w:val="0"/>
          <w:numId w:val="4"/>
        </w:numPr>
        <w:spacing w:lineRule="auto" w:line="276" w:before="0" w:after="120"/>
        <w:ind w:hanging="360" w:left="720" w:right="0"/>
        <w:jc w:val="both"/>
        <w:rPr/>
      </w:pPr>
      <w:r>
        <w:rPr>
          <w:rFonts w:cs="Calibri" w:ascii="Arial" w:hAnsi="Arial"/>
          <w:b w:val="false"/>
          <w:bCs w:val="false"/>
          <w:color w:val="000000"/>
          <w:sz w:val="20"/>
          <w:szCs w:val="20"/>
          <w:shd w:fill="auto" w:val="clear"/>
          <w:lang w:eastAsia="it-IT"/>
        </w:rPr>
        <w:t>l'</w:t>
      </w:r>
      <w:r>
        <w:rPr>
          <w:rFonts w:cs="Calibri" w:ascii="Arial" w:hAnsi="Arial"/>
          <w:b/>
          <w:bCs/>
          <w:color w:val="000000"/>
          <w:sz w:val="20"/>
          <w:szCs w:val="20"/>
          <w:shd w:fill="auto" w:val="clear"/>
          <w:lang w:eastAsia="it-IT"/>
        </w:rPr>
        <w:t>accesso deve essere escluso</w:t>
      </w:r>
      <w:r>
        <w:rPr>
          <w:rFonts w:cs="Calibri" w:ascii="Arial" w:hAnsi="Arial"/>
          <w:b w:val="false"/>
          <w:bCs w:val="false"/>
          <w:color w:val="000000"/>
          <w:sz w:val="20"/>
          <w:szCs w:val="20"/>
          <w:shd w:fill="auto" w:val="clear"/>
          <w:lang w:eastAsia="it-IT"/>
        </w:rPr>
        <w:t xml:space="preserve"> (ex lett. b) dell'art. 35 del codice) in relazione: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0" w:after="120"/>
        <w:ind w:hanging="360" w:left="1080" w:right="0"/>
        <w:jc w:val="both"/>
        <w:rPr/>
      </w:pPr>
      <w:r>
        <w:rPr>
          <w:rFonts w:cs="Calibri" w:ascii="Arial" w:hAnsi="Arial"/>
          <w:b w:val="false"/>
          <w:bCs w:val="false"/>
          <w:i/>
          <w:iCs/>
          <w:color w:val="000000"/>
          <w:sz w:val="20"/>
          <w:szCs w:val="20"/>
          <w:shd w:fill="auto" w:val="clear"/>
          <w:lang w:eastAsia="it-IT"/>
        </w:rPr>
        <w:t>ai pareri legali acquisiti dai soggetti tenuti all’applicazione del codice, per la soluzione di liti, potenziali o in atto, relative ai contratti pubblici;</w:t>
      </w:r>
    </w:p>
    <w:p>
      <w:pPr>
        <w:pStyle w:val="Normal"/>
        <w:numPr>
          <w:ilvl w:val="0"/>
          <w:numId w:val="3"/>
        </w:numPr>
        <w:suppressAutoHyphens w:val="false"/>
        <w:spacing w:lineRule="auto" w:line="276" w:before="100" w:after="120"/>
        <w:ind w:hanging="360" w:left="1080" w:right="0"/>
        <w:jc w:val="both"/>
        <w:rPr/>
      </w:pPr>
      <w:r>
        <w:rPr>
          <w:rFonts w:cs="Calibri" w:ascii="Arial" w:hAnsi="Arial"/>
          <w:b w:val="false"/>
          <w:bCs w:val="false"/>
          <w:i/>
          <w:iCs/>
          <w:color w:val="000000"/>
          <w:sz w:val="20"/>
          <w:szCs w:val="20"/>
          <w:shd w:fill="auto" w:val="clear"/>
          <w:lang w:eastAsia="it-IT"/>
        </w:rPr>
        <w:t xml:space="preserve">alle relazioni riservate del direttore dei lavori, del direttore dell’esecuzione e dell’organo di collaudo sulle domande e sulle riserve del soggetto esecutore del contratto; </w:t>
      </w:r>
    </w:p>
    <w:p>
      <w:pPr>
        <w:pStyle w:val="Normal"/>
        <w:numPr>
          <w:ilvl w:val="0"/>
          <w:numId w:val="3"/>
        </w:numPr>
        <w:spacing w:lineRule="auto" w:line="276"/>
        <w:ind w:hanging="360" w:left="1080" w:right="0"/>
        <w:jc w:val="both"/>
        <w:rPr/>
      </w:pPr>
      <w:r>
        <w:rPr>
          <w:rFonts w:cs="Calibri" w:ascii="Arial" w:hAnsi="Arial"/>
          <w:b w:val="false"/>
          <w:bCs w:val="false"/>
          <w:i/>
          <w:iCs/>
          <w:color w:val="000000"/>
          <w:sz w:val="20"/>
          <w:szCs w:val="20"/>
          <w:shd w:fill="auto" w:val="clear"/>
          <w:lang w:eastAsia="it-IT"/>
        </w:rPr>
        <w:t>alle piattaforme digitali e alle infrastrutture informatiche utilizzate dalla stazione appaltante o dall’ente concedente, ove coperte da diritti di privativa intellettuale</w:t>
      </w:r>
      <w:r>
        <w:rPr>
          <w:rFonts w:cs="Calibri" w:ascii="Arial" w:hAnsi="Arial"/>
          <w:b w:val="false"/>
          <w:bCs w:val="false"/>
          <w:color w:val="000000"/>
          <w:sz w:val="20"/>
          <w:szCs w:val="20"/>
          <w:shd w:fill="auto" w:val="clear"/>
          <w:lang w:eastAsia="it-IT"/>
        </w:rPr>
        <w:t>”.</w:t>
      </w:r>
    </w:p>
    <w:sectPr>
      <w:headerReference w:type="default" r:id="rId2"/>
      <w:footerReference w:type="even" r:id="rId3"/>
      <w:footerReference w:type="default" r:id="rId4"/>
      <w:footerReference w:type="first" r:id="rId5"/>
      <w:type w:val="nextPage"/>
      <w:pgSz w:w="11906" w:h="16838"/>
      <w:pgMar w:left="1275" w:right="1275" w:gutter="0" w:header="540" w:top="1453" w:footer="672" w:bottom="138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MT">
    <w:charset w:val="00"/>
    <w:family w:val="roman"/>
    <w:pitch w:val="variable"/>
  </w:font>
  <w:font w:name="Arial"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MT">
    <w:charset w:val="01"/>
    <w:family w:val="swiss"/>
    <w:pitch w:val="default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spacing w:lineRule="auto" w:line="276"/>
      <w:jc w:val="left"/>
      <w:rPr>
        <w:color w:val="auto"/>
        <w:shd w:fill="auto" w:val="clear"/>
      </w:rPr>
    </w:pPr>
    <w:r>
      <w:rPr>
        <w:rFonts w:ascii="Arial" w:hAnsi="Arial"/>
        <w:b/>
        <w:color w:val="000000"/>
        <w:sz w:val="12"/>
        <w:szCs w:val="12"/>
        <w:shd w:fill="auto" w:val="clear"/>
      </w:rPr>
      <w:t>REGOLAMENTO AZIENDALE IN MATERIA DI ACCESSO AGLI ATTI DOCUMENTALE, CIVICO SEMPLICE E CIVICO GENERALIZZATO</w:t>
    </w:r>
  </w:p>
  <w:p>
    <w:pPr>
      <w:pStyle w:val="Footer"/>
      <w:bidi w:val="0"/>
      <w:spacing w:lineRule="auto" w:line="276"/>
      <w:jc w:val="left"/>
      <w:rPr/>
    </w:pPr>
    <w:r>
      <w:rPr>
        <w:rFonts w:ascii="Arial" w:hAnsi="Arial"/>
        <w:b/>
        <w:color w:val="000000"/>
        <w:sz w:val="12"/>
        <w:szCs w:val="12"/>
        <w:shd w:fill="auto" w:val="clear"/>
      </w:rPr>
      <w:t xml:space="preserve">Allegato F – </w:t>
    </w:r>
    <w:r>
      <w:rPr>
        <w:rFonts w:ascii="Arial" w:hAnsi="Arial"/>
        <w:b/>
        <w:color w:val="000000"/>
        <w:spacing w:val="-4"/>
        <w:sz w:val="12"/>
        <w:szCs w:val="12"/>
        <w:shd w:fill="auto" w:val="clear"/>
      </w:rPr>
      <w:t>CASI DI ESCLUSIONE ACCESSO DOCUMENTALE</w:t>
      <w:tab/>
      <w:tab/>
      <w:tab/>
      <w:tab/>
      <w:tab/>
      <w:tab/>
      <w:tab/>
      <w:tab/>
    </w:r>
    <w:r>
      <w:rPr>
        <w:rFonts w:ascii="Arial" w:hAnsi="Arial"/>
        <w:b/>
        <w:color w:val="000000"/>
        <w:spacing w:val="-4"/>
        <w:sz w:val="20"/>
        <w:szCs w:val="20"/>
        <w:shd w:fill="auto" w:val="clear"/>
      </w:rPr>
      <w:fldChar w:fldCharType="begin"/>
    </w:r>
    <w:r>
      <w:rPr>
        <w:sz w:val="20"/>
        <w:spacing w:val="-4"/>
        <w:b/>
        <w:shd w:fill="auto" w:val="clear"/>
        <w:szCs w:val="20"/>
        <w:rFonts w:ascii="Arial" w:hAnsi="Arial"/>
        <w:color w:val="000000"/>
      </w:rPr>
      <w:instrText xml:space="preserve"> PAGE </w:instrText>
    </w:r>
    <w:r>
      <w:rPr>
        <w:sz w:val="20"/>
        <w:spacing w:val="-4"/>
        <w:b/>
        <w:shd w:fill="auto" w:val="clear"/>
        <w:szCs w:val="20"/>
        <w:rFonts w:ascii="Arial" w:hAnsi="Arial"/>
        <w:color w:val="000000"/>
      </w:rPr>
      <w:fldChar w:fldCharType="separate"/>
    </w:r>
    <w:r>
      <w:rPr>
        <w:sz w:val="20"/>
        <w:spacing w:val="-4"/>
        <w:b/>
        <w:shd w:fill="auto" w:val="clear"/>
        <w:szCs w:val="20"/>
        <w:rFonts w:ascii="Arial" w:hAnsi="Arial"/>
        <w:color w:val="000000"/>
      </w:rPr>
      <w:t>3</w:t>
    </w:r>
    <w:r>
      <w:rPr>
        <w:sz w:val="20"/>
        <w:spacing w:val="-4"/>
        <w:b/>
        <w:shd w:fill="auto" w:val="clear"/>
        <w:szCs w:val="20"/>
        <w:rFonts w:ascii="Arial" w:hAnsi="Arial"/>
        <w:color w:val="000000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spacing w:lineRule="auto" w:line="276"/>
      <w:jc w:val="left"/>
      <w:rPr>
        <w:color w:val="auto"/>
        <w:shd w:fill="auto" w:val="clear"/>
      </w:rPr>
    </w:pPr>
    <w:r>
      <w:rPr>
        <w:rFonts w:ascii="Arial" w:hAnsi="Arial"/>
        <w:b/>
        <w:color w:val="000000"/>
        <w:sz w:val="12"/>
        <w:szCs w:val="12"/>
        <w:shd w:fill="auto" w:val="clear"/>
      </w:rPr>
      <w:t>REGOLAMENTO AZIENDALE IN MATERIA DI ACCESSO AGLI ATTI DOCUMENTALE, CIVICO SEMPLICE E CIVICO GENERALIZZATO</w:t>
    </w:r>
  </w:p>
  <w:p>
    <w:pPr>
      <w:pStyle w:val="Footer"/>
      <w:bidi w:val="0"/>
      <w:spacing w:lineRule="auto" w:line="276"/>
      <w:jc w:val="left"/>
      <w:rPr/>
    </w:pPr>
    <w:r>
      <w:rPr>
        <w:rFonts w:ascii="Arial" w:hAnsi="Arial"/>
        <w:b/>
        <w:color w:val="000000"/>
        <w:sz w:val="12"/>
        <w:szCs w:val="12"/>
        <w:shd w:fill="auto" w:val="clear"/>
      </w:rPr>
      <w:t xml:space="preserve">Allegato F – </w:t>
    </w:r>
    <w:r>
      <w:rPr>
        <w:rFonts w:ascii="Arial" w:hAnsi="Arial"/>
        <w:b/>
        <w:color w:val="000000"/>
        <w:spacing w:val="-4"/>
        <w:sz w:val="12"/>
        <w:szCs w:val="12"/>
        <w:shd w:fill="auto" w:val="clear"/>
      </w:rPr>
      <w:t>CASI DI ESCLUSIONE ACCESSO DOCUMENTALE</w:t>
      <w:tab/>
      <w:tab/>
      <w:tab/>
      <w:tab/>
      <w:tab/>
      <w:tab/>
      <w:tab/>
      <w:tab/>
    </w:r>
    <w:r>
      <w:rPr>
        <w:rFonts w:ascii="Arial" w:hAnsi="Arial"/>
        <w:b/>
        <w:color w:val="000000"/>
        <w:spacing w:val="-4"/>
        <w:sz w:val="20"/>
        <w:szCs w:val="20"/>
        <w:shd w:fill="auto" w:val="clear"/>
      </w:rPr>
      <w:fldChar w:fldCharType="begin"/>
    </w:r>
    <w:r>
      <w:rPr>
        <w:sz w:val="20"/>
        <w:spacing w:val="-4"/>
        <w:b/>
        <w:shd w:fill="auto" w:val="clear"/>
        <w:szCs w:val="20"/>
        <w:rFonts w:ascii="Arial" w:hAnsi="Arial"/>
        <w:color w:val="000000"/>
      </w:rPr>
      <w:instrText xml:space="preserve"> PAGE </w:instrText>
    </w:r>
    <w:r>
      <w:rPr>
        <w:sz w:val="20"/>
        <w:spacing w:val="-4"/>
        <w:b/>
        <w:shd w:fill="auto" w:val="clear"/>
        <w:szCs w:val="20"/>
        <w:rFonts w:ascii="Arial" w:hAnsi="Arial"/>
        <w:color w:val="000000"/>
      </w:rPr>
      <w:fldChar w:fldCharType="separate"/>
    </w:r>
    <w:r>
      <w:rPr>
        <w:sz w:val="20"/>
        <w:spacing w:val="-4"/>
        <w:b/>
        <w:shd w:fill="auto" w:val="clear"/>
        <w:szCs w:val="20"/>
        <w:rFonts w:ascii="Arial" w:hAnsi="Arial"/>
        <w:color w:val="000000"/>
      </w:rPr>
      <w:t>3</w:t>
    </w:r>
    <w:r>
      <w:rPr>
        <w:sz w:val="20"/>
        <w:spacing w:val="-4"/>
        <w:b/>
        <w:shd w:fill="auto" w:val="clear"/>
        <w:szCs w:val="20"/>
        <w:rFonts w:ascii="Arial" w:hAnsi="Arial"/>
        <w:color w:val="000000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inline distT="0" distB="0" distL="0" distR="0">
          <wp:extent cx="1603375" cy="400050"/>
          <wp:effectExtent l="0" t="0" r="0" b="0"/>
          <wp:docPr id="1" name="Copia Copia Copia Copia Immagine2 2 1 1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pia Copia Copia Copia Immagine2 2 1 1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" t="-26" r="-7" b="-26"/>
                  <a:stretch>
                    <a:fillRect/>
                  </a:stretch>
                </pic:blipFill>
                <pic:spPr bwMode="auto">
                  <a:xfrm>
                    <a:off x="0" y="0"/>
                    <a:ext cx="160337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863" w:hanging="360"/>
      </w:pPr>
      <w:rPr>
        <w:rFonts w:ascii="Arial MT" w:hAnsi="Arial MT" w:cs="Arial MT" w:hint="default"/>
        <w:sz w:val="22"/>
        <w:spacing w:val="0"/>
        <w:i w:val="false"/>
        <w:b w:val="false"/>
        <w:szCs w:val="22"/>
        <w:iCs w:val="false"/>
        <w:bCs w:val="false"/>
        <w:w w:val="100"/>
        <w:lang w:val="it-I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09" w:hanging="360"/>
      </w:pPr>
      <w:rPr>
        <w:rFonts w:ascii="Symbol" w:hAnsi="Symbol" w:cs="Symbol" w:hint="default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58" w:hanging="360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07" w:hanging="360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56" w:hanging="360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05" w:hanging="360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54" w:hanging="360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03" w:hanging="360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652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2">
    <w:lvl w:ilvl="0">
      <w:numFmt w:val="bullet"/>
      <w:lvlText w:val=""/>
      <w:lvlJc w:val="left"/>
      <w:pPr>
        <w:tabs>
          <w:tab w:val="num" w:pos="0"/>
        </w:tabs>
        <w:ind w:left="503" w:hanging="360"/>
      </w:pPr>
      <w:rPr>
        <w:rFonts w:ascii="Symbol" w:hAnsi="Symbol" w:cs="Symbol" w:hint="default"/>
        <w:sz w:val="22"/>
        <w:spacing w:val="0"/>
        <w:i w:val="false"/>
        <w:b w:val="false"/>
        <w:szCs w:val="22"/>
        <w:iCs w:val="false"/>
        <w:bCs w:val="false"/>
        <w:w w:val="100"/>
        <w:lang w:val="it-I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85" w:hanging="360"/>
      </w:pPr>
      <w:rPr>
        <w:rFonts w:ascii="Symbol" w:hAnsi="Symbol" w:cs="Symbol" w:hint="default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70" w:hanging="360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55" w:hanging="360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40" w:hanging="360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25" w:hanging="360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10" w:hanging="360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695" w:hanging="360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580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/>
      <w:jc w:val="left"/>
    </w:pPr>
    <w:rPr>
      <w:rFonts w:ascii="Arial MT" w:hAnsi="Arial MT" w:eastAsia="Arial MT" w:cs="Arial MT"/>
      <w:color w:val="auto"/>
      <w:kern w:val="0"/>
      <w:sz w:val="22"/>
      <w:szCs w:val="22"/>
      <w:lang w:val="it-IT" w:eastAsia="en-US" w:bidi="ar-SA"/>
    </w:rPr>
  </w:style>
  <w:style w:type="paragraph" w:styleId="Heading1">
    <w:name w:val="Heading 1"/>
    <w:basedOn w:val="Normal"/>
    <w:uiPriority w:val="1"/>
    <w:qFormat/>
    <w:pPr>
      <w:ind w:left="143"/>
      <w:jc w:val="both"/>
      <w:outlineLvl w:val="1"/>
    </w:pPr>
    <w:rPr>
      <w:rFonts w:ascii="Arial" w:hAnsi="Arial" w:eastAsia="Arial" w:cs="Arial"/>
      <w:b/>
      <w:bCs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3z0">
    <w:name w:val="WW8Num3z0"/>
    <w:qFormat/>
    <w:rPr>
      <w:rFonts w:ascii="Symbol" w:hAnsi="Symbol" w:cs="Symbol"/>
    </w:rPr>
  </w:style>
  <w:style w:type="character" w:styleId="Hyperlink">
    <w:name w:val="Hyperlink"/>
    <w:rPr>
      <w:color w:val="000080"/>
      <w:u w:val="single"/>
    </w:rPr>
  </w:style>
  <w:style w:type="character" w:styleId="DefaultParagraphFont1">
    <w:name w:val="Default Paragraph Font1"/>
    <w:qFormat/>
    <w:rPr/>
  </w:style>
  <w:style w:type="character" w:styleId="FollowedHyperlink">
    <w:name w:val="FollowedHyperlink"/>
    <w:basedOn w:val="DefaultParagraphFont1"/>
    <w:rPr>
      <w:color w:val="800080"/>
      <w:u w:val="single"/>
    </w:rPr>
  </w:style>
  <w:style w:type="character" w:styleId="WW8Num8z0">
    <w:name w:val="WW8Num8z0"/>
    <w:qFormat/>
    <w:rPr>
      <w:rFonts w:ascii="Symbol" w:hAnsi="Symbol" w:cs="Symbol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uiPriority w:val="1"/>
    <w:qFormat/>
    <w:pPr>
      <w:ind w:hanging="360" w:left="503"/>
      <w:jc w:val="both"/>
    </w:pPr>
    <w:rPr>
      <w:rFonts w:ascii="Arial MT" w:hAnsi="Arial MT" w:eastAsia="Arial MT" w:cs="Arial MT"/>
      <w:sz w:val="22"/>
      <w:szCs w:val="22"/>
      <w:lang w:val="it-IT" w:eastAsia="en-US" w:bidi="ar-SA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pPr>
      <w:ind w:hanging="360" w:left="503"/>
      <w:jc w:val="both"/>
    </w:pPr>
    <w:rPr>
      <w:rFonts w:ascii="Arial MT" w:hAnsi="Arial MT" w:eastAsia="Arial MT" w:cs="Arial MT"/>
      <w:lang w:val="it-IT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it-IT" w:eastAsia="en-US" w:bidi="ar-SA"/>
    </w:rPr>
  </w:style>
  <w:style w:type="paragraph" w:styleId="Intestazioneepidipagina">
    <w:name w:val="Intestazione e piè di pagina"/>
    <w:basedOn w:val="Normal"/>
    <w:qFormat/>
    <w:pPr/>
    <w:rPr/>
  </w:style>
  <w:style w:type="paragraph" w:styleId="Footer">
    <w:name w:val="Footer"/>
    <w:basedOn w:val="Intestazioneepidipagina"/>
    <w:pPr/>
    <w:rPr/>
  </w:style>
  <w:style w:type="paragraph" w:styleId="Contenutocornice">
    <w:name w:val="Contenuto cornice"/>
    <w:basedOn w:val="Normal"/>
    <w:qFormat/>
    <w:pPr/>
    <w:rPr/>
  </w:style>
  <w:style w:type="paragraph" w:styleId="Header">
    <w:name w:val="Header"/>
    <w:basedOn w:val="Intestazioneepidipagina"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numbering" w:styleId="WW8Num8">
    <w:name w:val="WW8Num8"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Application>LibreOffice/7.6.6.3$Windows_X86_64 LibreOffice_project/d97b2716a9a4a2ce1391dee1765565ea469b0ae7</Application>
  <AppVersion>15.0000</AppVersion>
  <Pages>3</Pages>
  <Words>1286</Words>
  <Characters>7913</Characters>
  <CharactersWithSpaces>9127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2024-12-18T11:52:51Z</dcterms:created>
  <dc:creator>101734</dc:creator>
  <dc:description/>
  <dc:language>it-IT</dc:language>
  <cp:lastModifiedBy/>
  <dcterms:modified xsi:type="dcterms:W3CDTF">2024-12-20T12:07:45Z</dcterms:modified>
  <cp:revision>9</cp:revision>
  <dc:subject/>
  <dc:title>ALLEGATO F Casi di esclusione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PDFCreator 2.5.2.5233</vt:lpwstr>
  </property>
  <property fmtid="{D5CDD505-2E9C-101B-9397-08002B2CF9AE}" pid="4" name="LastSaved">
    <vt:filetime>2024-12-18T00:00:00Z</vt:filetime>
  </property>
  <property fmtid="{D5CDD505-2E9C-101B-9397-08002B2CF9AE}" pid="5" name="Producer">
    <vt:lpwstr>PDFCreator 2.5.2.5233</vt:lpwstr>
  </property>
</Properties>
</file>