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867"/>
        <w:rPr/>
      </w:pPr>
      <w:r>
        <w:rPr/>
        <w:t>Scheda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procedimento</w:t>
      </w:r>
      <w:r>
        <w:rPr>
          <w:spacing w:val="-1"/>
        </w:rPr>
        <w:t xml:space="preserve"> </w:t>
      </w:r>
      <w:r>
        <w:rPr/>
        <w:t>n.4</w:t>
      </w:r>
    </w:p>
    <w:p>
      <w:pPr>
        <w:pStyle w:val="Corpodeltesto"/>
        <w:spacing w:before="119" w:after="0"/>
        <w:ind w:left="515" w:right="683" w:hanging="0"/>
        <w:jc w:val="both"/>
        <w:rPr/>
      </w:pPr>
      <w:r>
        <w:rPr>
          <w:b/>
        </w:rPr>
        <w:t>TIPOLOGIA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PROCEDIMENTO:</w:t>
      </w:r>
      <w:r>
        <w:rPr>
          <w:b/>
          <w:spacing w:val="1"/>
        </w:rPr>
        <w:t xml:space="preserve"> </w:t>
      </w:r>
      <w:r>
        <w:rPr/>
        <w:t>Sopralluogo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verifica</w:t>
      </w:r>
      <w:r>
        <w:rPr>
          <w:spacing w:val="1"/>
        </w:rPr>
        <w:t xml:space="preserve"> </w:t>
      </w:r>
      <w:r>
        <w:rPr/>
        <w:t>requisiti</w:t>
      </w:r>
      <w:r>
        <w:rPr>
          <w:spacing w:val="1"/>
        </w:rPr>
        <w:t xml:space="preserve"> </w:t>
      </w:r>
      <w:r>
        <w:rPr/>
        <w:t>al</w:t>
      </w:r>
      <w:r>
        <w:rPr>
          <w:spacing w:val="1"/>
        </w:rPr>
        <w:t xml:space="preserve"> </w:t>
      </w:r>
      <w:r>
        <w:rPr/>
        <w:t>fine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registrazione all'UVAC degli stabilimenti ed attività produtive degli alimenti di origine</w:t>
      </w:r>
      <w:r>
        <w:rPr>
          <w:spacing w:val="1"/>
        </w:rPr>
        <w:t xml:space="preserve"> </w:t>
      </w:r>
      <w:r>
        <w:rPr/>
        <w:t>animale ai</w:t>
      </w:r>
      <w:r>
        <w:rPr>
          <w:spacing w:val="-2"/>
        </w:rPr>
        <w:t xml:space="preserve"> </w:t>
      </w:r>
      <w:r>
        <w:rPr/>
        <w:t>fini</w:t>
      </w:r>
      <w:r>
        <w:rPr>
          <w:spacing w:val="-3"/>
        </w:rPr>
        <w:t xml:space="preserve"> </w:t>
      </w:r>
      <w:r>
        <w:rPr/>
        <w:t>degli</w:t>
      </w:r>
      <w:r>
        <w:rPr>
          <w:spacing w:val="-3"/>
        </w:rPr>
        <w:t xml:space="preserve"> </w:t>
      </w:r>
      <w:r>
        <w:rPr/>
        <w:t>scambi</w:t>
      </w:r>
      <w:r>
        <w:rPr>
          <w:spacing w:val="-5"/>
        </w:rPr>
        <w:t xml:space="preserve"> </w:t>
      </w:r>
      <w:r>
        <w:rPr/>
        <w:t>intracomunitari di</w:t>
      </w:r>
      <w:r>
        <w:rPr>
          <w:spacing w:val="-3"/>
        </w:rPr>
        <w:t xml:space="preserve"> </w:t>
      </w:r>
      <w:r>
        <w:rPr/>
        <w:t>alimenti di</w:t>
      </w:r>
      <w:r>
        <w:rPr>
          <w:spacing w:val="-3"/>
        </w:rPr>
        <w:t xml:space="preserve"> </w:t>
      </w:r>
      <w:r>
        <w:rPr/>
        <w:t>origine</w:t>
      </w:r>
      <w:r>
        <w:rPr>
          <w:spacing w:val="1"/>
        </w:rPr>
        <w:t xml:space="preserve"> </w:t>
      </w:r>
      <w:r>
        <w:rPr/>
        <w:t>animale</w:t>
      </w:r>
    </w:p>
    <w:p>
      <w:pPr>
        <w:pStyle w:val="Corpodeltesto"/>
        <w:spacing w:before="8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50"/>
        <w:gridCol w:w="4849"/>
      </w:tblGrid>
      <w:tr>
        <w:trPr>
          <w:trHeight w:val="906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509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512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1216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7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47" w:before="52" w:after="0"/>
              <w:ind w:left="57" w:right="264" w:hanging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11"/>
                <w:w w:val="110"/>
                <w:kern w:val="0"/>
                <w:sz w:val="22"/>
                <w:szCs w:val="22"/>
                <w:lang w:eastAsia="en-US" w:bidi="ar-SA"/>
              </w:rPr>
              <w:t xml:space="preserve">Verifiche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 xml:space="preserve">ai </w:t>
            </w:r>
            <w:r>
              <w:rPr>
                <w:spacing w:val="9"/>
                <w:w w:val="110"/>
                <w:kern w:val="0"/>
                <w:sz w:val="22"/>
                <w:szCs w:val="22"/>
                <w:lang w:eastAsia="en-US" w:bidi="ar-SA"/>
              </w:rPr>
              <w:t xml:space="preserve">fini </w:t>
            </w:r>
            <w:r>
              <w:rPr>
                <w:spacing w:val="11"/>
                <w:w w:val="110"/>
                <w:kern w:val="0"/>
                <w:sz w:val="22"/>
                <w:szCs w:val="22"/>
                <w:lang w:eastAsia="en-US" w:bidi="ar-SA"/>
              </w:rPr>
              <w:t xml:space="preserve">della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registrazione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UVAC deg li stabilimenti autorizzati a</w:t>
            </w:r>
            <w:r>
              <w:rPr>
                <w:spacing w:val="-8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gli scambi intracomunitari di prodotti</w:t>
            </w:r>
            <w:r>
              <w:rPr>
                <w:spacing w:val="-8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504" w:hRule="atLeast"/>
        </w:trPr>
        <w:tc>
          <w:tcPr>
            <w:tcW w:w="5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D.Lgs.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n.28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30/01/1993</w:t>
            </w:r>
          </w:p>
        </w:tc>
      </w:tr>
      <w:tr>
        <w:trPr>
          <w:trHeight w:val="640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59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320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48"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48"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Andrea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Piga</w:t>
            </w:r>
          </w:p>
        </w:tc>
      </w:tr>
      <w:tr>
        <w:trPr>
          <w:trHeight w:val="267" w:hRule="atLeast"/>
        </w:trPr>
        <w:tc>
          <w:tcPr>
            <w:tcW w:w="575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47" w:before="1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7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recapiti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telefonici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alla</w:t>
            </w:r>
          </w:p>
        </w:tc>
        <w:tc>
          <w:tcPr>
            <w:tcW w:w="4849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47" w:before="1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</w:tc>
      </w:tr>
      <w:tr>
        <w:trPr>
          <w:trHeight w:val="266" w:hRule="atLeast"/>
        </w:trPr>
        <w:tc>
          <w:tcPr>
            <w:tcW w:w="575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4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49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4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via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Carducci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35</w:t>
            </w:r>
          </w:p>
        </w:tc>
      </w:tr>
      <w:tr>
        <w:trPr>
          <w:trHeight w:val="265" w:hRule="atLeast"/>
        </w:trPr>
        <w:tc>
          <w:tcPr>
            <w:tcW w:w="575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4849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46" w:before="0" w:after="0"/>
              <w:jc w:val="left"/>
              <w:rPr/>
            </w:pP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</w:p>
        </w:tc>
      </w:tr>
      <w:tr>
        <w:trPr>
          <w:trHeight w:val="319" w:hRule="atLeast"/>
        </w:trPr>
        <w:tc>
          <w:tcPr>
            <w:tcW w:w="5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/>
            </w:pPr>
            <w:hyperlink r:id="rId4">
              <w:r>
                <w:rPr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42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2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 diverso, l'ufficio competente all'adozione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provvedimento finale, con l'indicazione del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nome del responsabile dell'ufficio unitamente ai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rispettivi recapiti telefonici e alla casella di posta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elettronica istituzionale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906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0783/317765/67/71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0783/317866</w:t>
            </w:r>
          </w:p>
          <w:p>
            <w:pPr>
              <w:pStyle w:val="TableParagraph"/>
              <w:widowControl w:val="false"/>
              <w:spacing w:before="21" w:after="0"/>
              <w:jc w:val="left"/>
              <w:rPr>
                <w:sz w:val="20"/>
              </w:rPr>
            </w:pPr>
            <w:hyperlink r:id="rId5">
              <w:r>
                <w:rPr>
                  <w:kern w:val="0"/>
                  <w:sz w:val="20"/>
                  <w:szCs w:val="22"/>
                  <w:lang w:eastAsia="en-US" w:bidi="ar-SA"/>
                </w:rPr>
                <w:t>veterinario.b@asloristano.it</w:t>
              </w:r>
            </w:hyperlink>
          </w:p>
        </w:tc>
      </w:tr>
      <w:tr>
        <w:trPr>
          <w:trHeight w:val="1173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3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7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2507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3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finale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41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previsti dalla legge: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7" w:right="6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 interessi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lineRule="exact" w:line="267" w:before="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pacing w:before="0" w:after="0"/>
              <w:ind w:left="57" w:right="42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</w:tc>
      </w:tr>
    </w:tbl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50"/>
        <w:gridCol w:w="4849"/>
      </w:tblGrid>
      <w:tr>
        <w:trPr>
          <w:trHeight w:val="1245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67"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7" w:right="60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 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pacing w:lineRule="auto" w:line="235" w:before="3" w:after="0"/>
              <w:ind w:left="57" w:right="647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 esclusione di alcuni casi eccezionali di cd giurisdizione</w:t>
            </w:r>
            <w:r>
              <w:rPr>
                <w:spacing w:val="-48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17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11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819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>andrea.piga</w:t>
            </w:r>
            <w:hyperlink r:id="rId6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Corpodeltesto"/>
        <w:spacing w:before="10" w:after="0"/>
        <w:rPr>
          <w:sz w:val="12"/>
        </w:rPr>
      </w:pPr>
      <w:r>
        <w:rPr>
          <w:sz w:val="12"/>
        </w:rPr>
      </w:r>
    </w:p>
    <w:p>
      <w:pPr>
        <w:pStyle w:val="Normal"/>
        <w:spacing w:before="101" w:after="0"/>
        <w:ind w:left="515" w:hanging="0"/>
        <w:rPr>
          <w:b/>
          <w:b/>
        </w:rPr>
      </w:pP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spacing w:before="8" w:after="0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617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50"/>
        <w:gridCol w:w="4866"/>
      </w:tblGrid>
      <w:tr>
        <w:trPr>
          <w:trHeight w:val="640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Risultati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monitoraggio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periodico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concernente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rispetto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tempi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procedimentali</w:t>
            </w:r>
          </w:p>
        </w:tc>
        <w:tc>
          <w:tcPr>
            <w:tcW w:w="4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determinazione</w:t>
            </w:r>
          </w:p>
        </w:tc>
      </w:tr>
    </w:tbl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5" w:after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</w:t>
      </w:r>
      <w:r>
        <w:rPr>
          <w:sz w:val="20"/>
        </w:rPr>
        <w:t>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2475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ind w:left="5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veterinario.b@asloristano.it" TargetMode="External"/><Relationship Id="rId6" Type="http://schemas.openxmlformats.org/officeDocument/2006/relationships/hyperlink" Target="mailto:giuseppe.fadda@asloristano.it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534</Words>
  <Characters>3519</Characters>
  <CharactersWithSpaces>4008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2023-08-02T09:32:00Z</dcterms:created>
  <dc:creator>giuseppe</dc:creator>
  <dc:description/>
  <cp:keywords>() ()</cp:keywords>
  <dc:language>it-IT</dc:language>
  <cp:lastModifiedBy/>
  <dcterms:modified xsi:type="dcterms:W3CDTF">2023-08-02T12:15:04Z</dcterms:modified>
  <cp:revision>3</cp:revision>
  <dc:subject/>
  <dc:title>procedimento 4 verifica requisiti registarzione UVAC d.lgs 28_93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